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CEFE2" w14:textId="23460260" w:rsidR="004A6E8A" w:rsidRPr="008D163D" w:rsidRDefault="000F4D82">
      <w:r w:rsidRPr="008D163D">
        <w:rPr>
          <w:highlight w:val="yellow"/>
        </w:rPr>
        <w:t>Date</w:t>
      </w:r>
    </w:p>
    <w:p w14:paraId="4FD5DD8A" w14:textId="5AA0C79B" w:rsidR="000F4D82" w:rsidRPr="008D163D" w:rsidRDefault="000F4D82"/>
    <w:p w14:paraId="6516624B" w14:textId="736E4D24" w:rsidR="000F4D82" w:rsidRPr="008D163D" w:rsidRDefault="000F4D82" w:rsidP="002C41F2">
      <w:pPr>
        <w:spacing w:line="360" w:lineRule="auto"/>
      </w:pPr>
      <w:r w:rsidRPr="008D163D">
        <w:t xml:space="preserve">On behalf of the </w:t>
      </w:r>
      <w:r w:rsidRPr="008D163D">
        <w:rPr>
          <w:highlight w:val="yellow"/>
        </w:rPr>
        <w:t>[Insert Association Name Here],</w:t>
      </w:r>
      <w:r w:rsidRPr="008D163D">
        <w:t xml:space="preserve"> I am writing in support of the Audiology and Speech-Language Pathology Interstate Compact</w:t>
      </w:r>
      <w:r w:rsidR="002C41F2" w:rsidRPr="008D163D">
        <w:t xml:space="preserve"> (ASLP-IC)</w:t>
      </w:r>
      <w:r w:rsidRPr="008D163D">
        <w:t>—an occupational licensure compact that</w:t>
      </w:r>
      <w:r w:rsidR="002C41F2" w:rsidRPr="008D163D">
        <w:t xml:space="preserve"> will</w:t>
      </w:r>
      <w:r w:rsidRPr="008D163D">
        <w:t xml:space="preserve"> </w:t>
      </w:r>
      <w:r w:rsidR="002C41F2" w:rsidRPr="008D163D">
        <w:t>enable states to meet increasing demands for audiology and speech-language pathology services while maintaining appropriate oversight necessary for consumer protection.</w:t>
      </w:r>
    </w:p>
    <w:p w14:paraId="489FF738" w14:textId="3BDBEDCB" w:rsidR="00414724" w:rsidRPr="008D163D" w:rsidRDefault="00414724"/>
    <w:p w14:paraId="7F3E6566" w14:textId="5FEB66A3" w:rsidR="00414724" w:rsidRPr="008D163D" w:rsidRDefault="00414724">
      <w:r w:rsidRPr="008D163D">
        <w:rPr>
          <w:highlight w:val="yellow"/>
        </w:rPr>
        <w:t>Insert brief paragraph here w/Association background and mission</w:t>
      </w:r>
    </w:p>
    <w:p w14:paraId="64CD77E5" w14:textId="397D6F9F" w:rsidR="00414724" w:rsidRPr="008D163D" w:rsidRDefault="00414724"/>
    <w:p w14:paraId="1C300207" w14:textId="0783B438" w:rsidR="00414724" w:rsidRPr="008D163D" w:rsidRDefault="002C41F2" w:rsidP="002C41F2">
      <w:pPr>
        <w:spacing w:line="360" w:lineRule="auto"/>
      </w:pPr>
      <w:r w:rsidRPr="008D163D">
        <w:t xml:space="preserve">The ASLP-IC will allow state licensed audiologists and speech-language pathologists to apply for a privilege to practice in other </w:t>
      </w:r>
      <w:r w:rsidR="005D16A2">
        <w:t xml:space="preserve">participating </w:t>
      </w:r>
      <w:r w:rsidRPr="008D163D">
        <w:t>states and enable them to provide services</w:t>
      </w:r>
      <w:r w:rsidR="005D16A2">
        <w:t xml:space="preserve"> across state lines--either</w:t>
      </w:r>
      <w:r w:rsidRPr="008D163D">
        <w:t xml:space="preserve"> face-to-face or through </w:t>
      </w:r>
      <w:proofErr w:type="spellStart"/>
      <w:r w:rsidRPr="008D163D">
        <w:t>telepractice</w:t>
      </w:r>
      <w:proofErr w:type="spellEnd"/>
      <w:r w:rsidRPr="008D163D">
        <w:t>.  This flexibility is needed in today’s healthcare marketplace to help promote continuity of care for patients</w:t>
      </w:r>
      <w:r w:rsidR="00B77261" w:rsidRPr="008D163D">
        <w:t xml:space="preserve"> who travel or relocate</w:t>
      </w:r>
      <w:r w:rsidR="00C51199">
        <w:t>,</w:t>
      </w:r>
      <w:r w:rsidRPr="008D163D">
        <w:t xml:space="preserve"> as well as to facilitate job mobility for providers.</w:t>
      </w:r>
      <w:r w:rsidR="008D00D7" w:rsidRPr="008D163D">
        <w:t xml:space="preserve">  </w:t>
      </w:r>
      <w:r w:rsidR="006E3EB5">
        <w:t>Each</w:t>
      </w:r>
      <w:r w:rsidR="008D00D7" w:rsidRPr="008D163D">
        <w:t xml:space="preserve"> state that participates in the compact will continue to regulate the actual practice of audiology and speech-language-pathology and</w:t>
      </w:r>
      <w:r w:rsidR="005D16A2">
        <w:t xml:space="preserve"> maintain</w:t>
      </w:r>
      <w:r w:rsidR="008D00D7" w:rsidRPr="008D163D">
        <w:t xml:space="preserve"> their individual scopes of practice</w:t>
      </w:r>
      <w:r w:rsidR="006E3EB5">
        <w:t>; st</w:t>
      </w:r>
      <w:r w:rsidR="008D00D7" w:rsidRPr="008D163D">
        <w:t xml:space="preserve">ates </w:t>
      </w:r>
      <w:r w:rsidR="005D16A2">
        <w:t>will not cede any</w:t>
      </w:r>
      <w:r w:rsidR="008D00D7" w:rsidRPr="008D163D">
        <w:t xml:space="preserve"> regulatory autonomy.</w:t>
      </w:r>
      <w:r w:rsidR="000553D4">
        <w:t xml:space="preserve">  </w:t>
      </w:r>
      <w:r w:rsidR="006E3EB5">
        <w:t>S</w:t>
      </w:r>
      <w:r w:rsidR="000553D4">
        <w:t>tates that participate in the compact will</w:t>
      </w:r>
      <w:r w:rsidR="006E3EB5">
        <w:t xml:space="preserve"> also</w:t>
      </w:r>
      <w:r w:rsidR="000553D4">
        <w:t xml:space="preserve"> be able to share provider disciplinary actions, providing an additional layer of consumer protection.</w:t>
      </w:r>
    </w:p>
    <w:p w14:paraId="3947D6FF" w14:textId="77777777" w:rsidR="00275169" w:rsidRDefault="00275169" w:rsidP="008D163D">
      <w:pPr>
        <w:spacing w:line="360" w:lineRule="auto"/>
      </w:pPr>
    </w:p>
    <w:p w14:paraId="197DBEB6" w14:textId="7C03CFCD" w:rsidR="00EC1351" w:rsidRDefault="008D163D" w:rsidP="008D163D">
      <w:pPr>
        <w:spacing w:line="360" w:lineRule="auto"/>
      </w:pPr>
      <w:r w:rsidRPr="008D163D">
        <w:t>Occupational licensure compacts</w:t>
      </w:r>
      <w:r w:rsidR="006E3EB5">
        <w:t>,</w:t>
      </w:r>
      <w:r w:rsidRPr="008D163D">
        <w:t xml:space="preserve"> like the ASLP-IC</w:t>
      </w:r>
      <w:r w:rsidR="006E3EB5">
        <w:t>,</w:t>
      </w:r>
      <w:r w:rsidRPr="008D163D">
        <w:t xml:space="preserve"> are supported by the Federal Trade Commission</w:t>
      </w:r>
      <w:r w:rsidR="00EC1351">
        <w:t xml:space="preserve">.  In the 2018 policy perspective </w:t>
      </w:r>
      <w:r w:rsidR="00EC1351">
        <w:rPr>
          <w:i/>
          <w:iCs/>
        </w:rPr>
        <w:t>Options to Enhance Occupational License Portability</w:t>
      </w:r>
      <w:r w:rsidR="00EC1351">
        <w:t>, staff of the FTC</w:t>
      </w:r>
      <w:r>
        <w:t xml:space="preserve"> found that</w:t>
      </w:r>
      <w:r w:rsidR="00EC1351">
        <w:t xml:space="preserve"> consumers can benefit from access to services achieved through a process that allows qualified providers to obtain licensing quickly upon relocation or across multiple states.</w:t>
      </w:r>
      <w:r>
        <w:rPr>
          <w:rStyle w:val="FootnoteReference"/>
        </w:rPr>
        <w:footnoteReference w:id="1"/>
      </w:r>
      <w:r>
        <w:t xml:space="preserve">  </w:t>
      </w:r>
      <w:r w:rsidR="00EC1351">
        <w:t xml:space="preserve"> A licensure compact offers significant cost- and time-savings over the traditional state-by-state occupational licensing.</w:t>
      </w:r>
    </w:p>
    <w:p w14:paraId="3B7706C1" w14:textId="77777777" w:rsidR="00275169" w:rsidRDefault="00275169" w:rsidP="008D163D">
      <w:pPr>
        <w:spacing w:line="360" w:lineRule="auto"/>
      </w:pPr>
    </w:p>
    <w:p w14:paraId="56CB5D70" w14:textId="140FC14B" w:rsidR="008D163D" w:rsidRPr="008D163D" w:rsidRDefault="00A42F66" w:rsidP="008D163D">
      <w:pPr>
        <w:spacing w:line="360" w:lineRule="auto"/>
      </w:pPr>
      <w:r w:rsidRPr="008D163D">
        <w:t xml:space="preserve">As the demand for audiology and speech-language pathology services continues to grow, innovative approaches </w:t>
      </w:r>
      <w:r w:rsidR="008D163D">
        <w:t xml:space="preserve">to address gaps in care </w:t>
      </w:r>
      <w:r w:rsidRPr="008D163D">
        <w:t xml:space="preserve">are needed to meet the needs of patients.   </w:t>
      </w:r>
      <w:r w:rsidR="00EC1351">
        <w:t xml:space="preserve">The ASLP-IC offers such an approach, and </w:t>
      </w:r>
      <w:proofErr w:type="gramStart"/>
      <w:r w:rsidR="00EC1351">
        <w:t xml:space="preserve">the </w:t>
      </w:r>
      <w:r w:rsidR="00EC1351" w:rsidRPr="008D163D">
        <w:rPr>
          <w:highlight w:val="yellow"/>
        </w:rPr>
        <w:t>,</w:t>
      </w:r>
      <w:proofErr w:type="gramEnd"/>
      <w:r w:rsidR="00EC1351" w:rsidRPr="008D163D">
        <w:rPr>
          <w:highlight w:val="yellow"/>
        </w:rPr>
        <w:t xml:space="preserve"> [Association Name]</w:t>
      </w:r>
      <w:r w:rsidR="00EC1351" w:rsidRPr="008D163D">
        <w:t xml:space="preserve"> supports</w:t>
      </w:r>
      <w:r w:rsidR="00EC1351">
        <w:t xml:space="preserve"> its</w:t>
      </w:r>
      <w:r w:rsidR="00EC1351" w:rsidRPr="008D163D">
        <w:t xml:space="preserve"> adoption</w:t>
      </w:r>
      <w:r w:rsidR="00EC1351">
        <w:t>.</w:t>
      </w:r>
      <w:r w:rsidR="00EC1351" w:rsidRPr="008D163D">
        <w:t xml:space="preserve">  </w:t>
      </w:r>
      <w:r w:rsidR="00EC1351">
        <w:t xml:space="preserve"> </w:t>
      </w:r>
      <w:bookmarkStart w:id="0" w:name="_GoBack"/>
      <w:bookmarkEnd w:id="0"/>
    </w:p>
    <w:sectPr w:rsidR="008D163D" w:rsidRPr="008D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74A7D" w14:textId="77777777" w:rsidR="002C30BE" w:rsidRDefault="002C30BE" w:rsidP="008D163D">
      <w:pPr>
        <w:spacing w:after="0" w:line="240" w:lineRule="auto"/>
      </w:pPr>
      <w:r>
        <w:separator/>
      </w:r>
    </w:p>
  </w:endnote>
  <w:endnote w:type="continuationSeparator" w:id="0">
    <w:p w14:paraId="05043B36" w14:textId="77777777" w:rsidR="002C30BE" w:rsidRDefault="002C30BE" w:rsidP="008D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00294" w14:textId="77777777" w:rsidR="002C30BE" w:rsidRDefault="002C30BE" w:rsidP="008D163D">
      <w:pPr>
        <w:spacing w:after="0" w:line="240" w:lineRule="auto"/>
      </w:pPr>
      <w:r>
        <w:separator/>
      </w:r>
    </w:p>
  </w:footnote>
  <w:footnote w:type="continuationSeparator" w:id="0">
    <w:p w14:paraId="69AF3124" w14:textId="77777777" w:rsidR="002C30BE" w:rsidRDefault="002C30BE" w:rsidP="008D163D">
      <w:pPr>
        <w:spacing w:after="0" w:line="240" w:lineRule="auto"/>
      </w:pPr>
      <w:r>
        <w:continuationSeparator/>
      </w:r>
    </w:p>
  </w:footnote>
  <w:footnote w:id="1">
    <w:p w14:paraId="00CECA27" w14:textId="77777777" w:rsidR="008D163D" w:rsidRDefault="008D163D" w:rsidP="008D16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  <w:color w:val="0000FF"/>
          </w:rPr>
          <w:t>https://www.ftc.gov/system/files/docu</w:t>
        </w:r>
        <w:r>
          <w:rPr>
            <w:rStyle w:val="Hyperlink"/>
            <w:color w:val="0000FF"/>
          </w:rPr>
          <w:t>m</w:t>
        </w:r>
        <w:r>
          <w:rPr>
            <w:rStyle w:val="Hyperlink"/>
            <w:color w:val="0000FF"/>
          </w:rPr>
          <w:t>ents/reports/options-enhance-occupational-license-portability/license_portability_policy_paper.pdf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82"/>
    <w:rsid w:val="000553D4"/>
    <w:rsid w:val="000F4D82"/>
    <w:rsid w:val="00275169"/>
    <w:rsid w:val="002C30BE"/>
    <w:rsid w:val="002C41F2"/>
    <w:rsid w:val="00414724"/>
    <w:rsid w:val="004A6E8A"/>
    <w:rsid w:val="005D16A2"/>
    <w:rsid w:val="006E3EB5"/>
    <w:rsid w:val="008D00D7"/>
    <w:rsid w:val="008D163D"/>
    <w:rsid w:val="00A42F66"/>
    <w:rsid w:val="00B77261"/>
    <w:rsid w:val="00C51199"/>
    <w:rsid w:val="00E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A0C9"/>
  <w15:chartTrackingRefBased/>
  <w15:docId w15:val="{A3243EA4-A3D4-415F-86C8-090CA16E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16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6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163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D16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tc.gov/system/files/documents/reports/options-enhance-occupational-license-portability/license_portability_policy_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D1FF-58BF-4920-A72F-43F0913A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Pilch</dc:creator>
  <cp:keywords/>
  <dc:description/>
  <cp:lastModifiedBy>Kathryn Werner</cp:lastModifiedBy>
  <cp:revision>2</cp:revision>
  <dcterms:created xsi:type="dcterms:W3CDTF">2019-11-21T21:16:00Z</dcterms:created>
  <dcterms:modified xsi:type="dcterms:W3CDTF">2019-11-21T21:16:00Z</dcterms:modified>
</cp:coreProperties>
</file>